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E8" w:rsidRDefault="00FD01E8"/>
    <w:p w:rsidR="00022186" w:rsidRDefault="00893232" w:rsidP="00022186">
      <w:pPr>
        <w:rPr>
          <w:sz w:val="24"/>
          <w:szCs w:val="24"/>
        </w:rPr>
      </w:pPr>
      <w:r w:rsidRPr="00893232">
        <w:rPr>
          <w:sz w:val="24"/>
          <w:szCs w:val="24"/>
        </w:rPr>
        <w:t>Корпус АС с отверстиями в задней стенке</w:t>
      </w:r>
      <w:r w:rsidR="007B4347">
        <w:rPr>
          <w:sz w:val="24"/>
          <w:szCs w:val="24"/>
        </w:rPr>
        <w:t xml:space="preserve"> </w:t>
      </w:r>
      <w:r w:rsidRPr="00893232">
        <w:rPr>
          <w:sz w:val="24"/>
          <w:szCs w:val="24"/>
        </w:rPr>
        <w:t>-</w:t>
      </w:r>
      <w:r w:rsidR="007B4347">
        <w:rPr>
          <w:sz w:val="24"/>
          <w:szCs w:val="24"/>
        </w:rPr>
        <w:t xml:space="preserve"> </w:t>
      </w:r>
      <w:r w:rsidRPr="00893232">
        <w:rPr>
          <w:sz w:val="24"/>
          <w:szCs w:val="24"/>
        </w:rPr>
        <w:t xml:space="preserve">Ящик с отверстиями в задней стенке более удобен для </w:t>
      </w:r>
      <w:r>
        <w:rPr>
          <w:sz w:val="24"/>
          <w:szCs w:val="24"/>
        </w:rPr>
        <w:t xml:space="preserve">размещения головки, чем плоский акустический экран. Такой ящик эквивалентен плоскому экрану, площадь которого равна общей площади всех поверхностей ящика, кроме задней стенки, если глубина ящика не </w:t>
      </w:r>
      <w:proofErr w:type="gramStart"/>
      <w:r>
        <w:rPr>
          <w:sz w:val="24"/>
          <w:szCs w:val="24"/>
        </w:rPr>
        <w:t>превышает 1</w:t>
      </w:r>
      <w:r w:rsidRPr="00893232">
        <w:rPr>
          <w:sz w:val="24"/>
          <w:szCs w:val="24"/>
        </w:rPr>
        <w:t>/8</w:t>
      </w:r>
      <w:r>
        <w:rPr>
          <w:sz w:val="24"/>
          <w:szCs w:val="24"/>
        </w:rPr>
        <w:t xml:space="preserve"> наибольшей длинны</w:t>
      </w:r>
      <w:proofErr w:type="gramEnd"/>
      <w:r>
        <w:rPr>
          <w:sz w:val="24"/>
          <w:szCs w:val="24"/>
        </w:rPr>
        <w:t xml:space="preserve"> волны.</w:t>
      </w:r>
      <w:r w:rsidR="00022186">
        <w:rPr>
          <w:sz w:val="24"/>
          <w:szCs w:val="24"/>
        </w:rPr>
        <w:t xml:space="preserve"> Определим длину волны. </w:t>
      </w:r>
      <w:r w:rsidR="00022186" w:rsidRPr="00022186">
        <w:rPr>
          <w:sz w:val="24"/>
          <w:szCs w:val="24"/>
        </w:rPr>
        <w:t>Волновое движение материи под воздействием источника звука, воспринимаемое слухом как ощущение з</w:t>
      </w:r>
      <w:r w:rsidR="00022186">
        <w:rPr>
          <w:sz w:val="24"/>
          <w:szCs w:val="24"/>
        </w:rPr>
        <w:t>вука называется звуковой волной.</w:t>
      </w:r>
      <w:r w:rsidR="00022186" w:rsidRPr="00022186">
        <w:rPr>
          <w:sz w:val="24"/>
          <w:szCs w:val="24"/>
        </w:rPr>
        <w:t xml:space="preserve"> Длина звуковой волны λ (в м) прямо пропорциональна скорости звука </w:t>
      </w:r>
      <w:proofErr w:type="gramStart"/>
      <w:r w:rsidR="00022186" w:rsidRPr="00022186">
        <w:rPr>
          <w:sz w:val="24"/>
          <w:szCs w:val="24"/>
        </w:rPr>
        <w:t>с</w:t>
      </w:r>
      <w:proofErr w:type="gramEnd"/>
      <w:r w:rsidR="00022186" w:rsidRPr="00022186">
        <w:rPr>
          <w:sz w:val="24"/>
          <w:szCs w:val="24"/>
        </w:rPr>
        <w:t xml:space="preserve"> (в м/сек) и обратно пропорциональна его частоте f  (в Гц)</w:t>
      </w:r>
    </w:p>
    <w:p w:rsidR="00022186" w:rsidRDefault="00787325" w:rsidP="00787325">
      <w:pPr>
        <w:jc w:val="center"/>
        <w:rPr>
          <w:sz w:val="24"/>
          <w:szCs w:val="24"/>
        </w:rPr>
      </w:pPr>
      <w:r>
        <w:rPr>
          <w:sz w:val="24"/>
          <w:szCs w:val="24"/>
        </w:rPr>
        <w:t>λ</w:t>
      </w:r>
      <w:r w:rsidR="00022186">
        <w:rPr>
          <w:sz w:val="24"/>
          <w:szCs w:val="24"/>
        </w:rPr>
        <w:t>=</w:t>
      </w:r>
      <w:r>
        <w:rPr>
          <w:sz w:val="24"/>
          <w:szCs w:val="24"/>
        </w:rPr>
        <w:t>С</w:t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</w:rPr>
        <w:t>f</w:t>
      </w:r>
    </w:p>
    <w:p w:rsidR="00787325" w:rsidRPr="00787325" w:rsidRDefault="00787325" w:rsidP="00787325">
      <w:pPr>
        <w:rPr>
          <w:sz w:val="24"/>
          <w:szCs w:val="24"/>
        </w:rPr>
      </w:pPr>
      <w:r>
        <w:rPr>
          <w:sz w:val="24"/>
          <w:szCs w:val="24"/>
        </w:rPr>
        <w:t>С=340 м</w:t>
      </w:r>
      <w:r w:rsidRPr="00787325"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скорость звука в воздухе, f=частота Гц</w:t>
      </w:r>
    </w:p>
    <w:p w:rsidR="00787325" w:rsidRDefault="00787325" w:rsidP="00022186">
      <w:pPr>
        <w:rPr>
          <w:sz w:val="24"/>
          <w:szCs w:val="24"/>
        </w:rPr>
      </w:pPr>
      <w:r>
        <w:rPr>
          <w:sz w:val="24"/>
          <w:szCs w:val="24"/>
        </w:rPr>
        <w:t>Пример  λ=340</w:t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</w:rPr>
        <w:t>50 герц=7метров</w:t>
      </w:r>
    </w:p>
    <w:p w:rsidR="00787325" w:rsidRDefault="00787325" w:rsidP="0002218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"/>
        <w:gridCol w:w="640"/>
        <w:gridCol w:w="705"/>
        <w:gridCol w:w="751"/>
        <w:gridCol w:w="706"/>
        <w:gridCol w:w="662"/>
        <w:gridCol w:w="706"/>
        <w:gridCol w:w="662"/>
        <w:gridCol w:w="706"/>
        <w:gridCol w:w="706"/>
        <w:gridCol w:w="665"/>
        <w:gridCol w:w="646"/>
        <w:gridCol w:w="605"/>
        <w:gridCol w:w="554"/>
      </w:tblGrid>
      <w:tr w:rsidR="00687212" w:rsidTr="008334C3">
        <w:tc>
          <w:tcPr>
            <w:tcW w:w="9571" w:type="dxa"/>
            <w:gridSpan w:val="14"/>
          </w:tcPr>
          <w:p w:rsidR="00687212" w:rsidRPr="00171FA1" w:rsidRDefault="00687212" w:rsidP="00171FA1">
            <w:pPr>
              <w:jc w:val="center"/>
              <w:rPr>
                <w:sz w:val="16"/>
                <w:szCs w:val="16"/>
              </w:rPr>
            </w:pPr>
            <w:r w:rsidRPr="00171FA1">
              <w:rPr>
                <w:sz w:val="16"/>
                <w:szCs w:val="16"/>
              </w:rPr>
              <w:t>Средняя длина звуковых волн в воздухе при t =15ºC</w:t>
            </w:r>
          </w:p>
        </w:tc>
      </w:tr>
      <w:tr w:rsidR="00687212" w:rsidTr="00687212">
        <w:tc>
          <w:tcPr>
            <w:tcW w:w="857" w:type="dxa"/>
          </w:tcPr>
          <w:p w:rsidR="00687212" w:rsidRPr="00687212" w:rsidRDefault="00687212" w:rsidP="00022186">
            <w:pPr>
              <w:rPr>
                <w:sz w:val="16"/>
                <w:szCs w:val="16"/>
              </w:rPr>
            </w:pPr>
            <w:r w:rsidRPr="00687212">
              <w:rPr>
                <w:sz w:val="16"/>
                <w:szCs w:val="16"/>
              </w:rPr>
              <w:t xml:space="preserve">Частота </w:t>
            </w:r>
            <w:proofErr w:type="gramStart"/>
            <w:r w:rsidRPr="00687212">
              <w:rPr>
                <w:sz w:val="16"/>
                <w:szCs w:val="16"/>
              </w:rPr>
              <w:t>Гц</w:t>
            </w:r>
            <w:proofErr w:type="gramEnd"/>
          </w:p>
        </w:tc>
        <w:tc>
          <w:tcPr>
            <w:tcW w:w="640" w:type="dxa"/>
          </w:tcPr>
          <w:p w:rsidR="00687212" w:rsidRPr="00687212" w:rsidRDefault="00687212" w:rsidP="000221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</w:tcPr>
          <w:p w:rsidR="00687212" w:rsidRPr="00687212" w:rsidRDefault="00687212" w:rsidP="000221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51" w:type="dxa"/>
          </w:tcPr>
          <w:p w:rsidR="00687212" w:rsidRPr="00687212" w:rsidRDefault="00687212" w:rsidP="000221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6" w:type="dxa"/>
          </w:tcPr>
          <w:p w:rsidR="00687212" w:rsidRPr="00687212" w:rsidRDefault="00687212" w:rsidP="000221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662" w:type="dxa"/>
          </w:tcPr>
          <w:p w:rsidR="00687212" w:rsidRPr="00687212" w:rsidRDefault="00687212" w:rsidP="000221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6" w:type="dxa"/>
          </w:tcPr>
          <w:p w:rsidR="00687212" w:rsidRPr="00687212" w:rsidRDefault="00687212" w:rsidP="000221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662" w:type="dxa"/>
          </w:tcPr>
          <w:p w:rsidR="00687212" w:rsidRPr="00687212" w:rsidRDefault="00687212" w:rsidP="000221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6" w:type="dxa"/>
          </w:tcPr>
          <w:p w:rsidR="00687212" w:rsidRPr="00687212" w:rsidRDefault="00687212" w:rsidP="000221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706" w:type="dxa"/>
          </w:tcPr>
          <w:p w:rsidR="00687212" w:rsidRPr="00687212" w:rsidRDefault="00687212" w:rsidP="000221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65" w:type="dxa"/>
          </w:tcPr>
          <w:p w:rsidR="00687212" w:rsidRDefault="00687212" w:rsidP="000221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646" w:type="dxa"/>
          </w:tcPr>
          <w:p w:rsidR="00687212" w:rsidRDefault="00687212" w:rsidP="000221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05" w:type="dxa"/>
          </w:tcPr>
          <w:p w:rsidR="00687212" w:rsidRDefault="00687212" w:rsidP="000221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54" w:type="dxa"/>
          </w:tcPr>
          <w:p w:rsidR="00687212" w:rsidRDefault="00687212" w:rsidP="000221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687212" w:rsidTr="00687212">
        <w:tc>
          <w:tcPr>
            <w:tcW w:w="857" w:type="dxa"/>
          </w:tcPr>
          <w:p w:rsidR="00687212" w:rsidRPr="00687212" w:rsidRDefault="00687212" w:rsidP="00022186">
            <w:pPr>
              <w:rPr>
                <w:sz w:val="16"/>
                <w:szCs w:val="16"/>
              </w:rPr>
            </w:pPr>
            <w:proofErr w:type="gramStart"/>
            <w:r w:rsidRPr="00171FA1">
              <w:rPr>
                <w:sz w:val="16"/>
                <w:szCs w:val="16"/>
              </w:rPr>
              <w:t>Длинна</w:t>
            </w:r>
            <w:proofErr w:type="gramEnd"/>
            <w:r w:rsidRPr="00171FA1">
              <w:rPr>
                <w:sz w:val="16"/>
                <w:szCs w:val="16"/>
              </w:rPr>
              <w:t xml:space="preserve"> волны в м</w:t>
            </w:r>
          </w:p>
        </w:tc>
        <w:tc>
          <w:tcPr>
            <w:tcW w:w="640" w:type="dxa"/>
          </w:tcPr>
          <w:p w:rsidR="00687212" w:rsidRPr="00687212" w:rsidRDefault="00687212" w:rsidP="000221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5" w:type="dxa"/>
          </w:tcPr>
          <w:p w:rsidR="00687212" w:rsidRPr="00687212" w:rsidRDefault="00687212" w:rsidP="000221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</w:t>
            </w:r>
          </w:p>
        </w:tc>
        <w:tc>
          <w:tcPr>
            <w:tcW w:w="751" w:type="dxa"/>
          </w:tcPr>
          <w:p w:rsidR="00687212" w:rsidRPr="00687212" w:rsidRDefault="00687212" w:rsidP="000221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11.33</w:t>
            </w:r>
          </w:p>
        </w:tc>
        <w:tc>
          <w:tcPr>
            <w:tcW w:w="706" w:type="dxa"/>
          </w:tcPr>
          <w:p w:rsidR="00687212" w:rsidRPr="00687212" w:rsidRDefault="00687212" w:rsidP="000221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9.71</w:t>
            </w:r>
          </w:p>
        </w:tc>
        <w:tc>
          <w:tcPr>
            <w:tcW w:w="662" w:type="dxa"/>
          </w:tcPr>
          <w:p w:rsidR="00687212" w:rsidRPr="00687212" w:rsidRDefault="00687212" w:rsidP="000221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</w:t>
            </w:r>
          </w:p>
        </w:tc>
        <w:tc>
          <w:tcPr>
            <w:tcW w:w="706" w:type="dxa"/>
          </w:tcPr>
          <w:p w:rsidR="00687212" w:rsidRPr="00687212" w:rsidRDefault="00687212" w:rsidP="000221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7.55</w:t>
            </w:r>
          </w:p>
        </w:tc>
        <w:tc>
          <w:tcPr>
            <w:tcW w:w="662" w:type="dxa"/>
          </w:tcPr>
          <w:p w:rsidR="00687212" w:rsidRPr="00687212" w:rsidRDefault="00687212" w:rsidP="000221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</w:t>
            </w:r>
          </w:p>
        </w:tc>
        <w:tc>
          <w:tcPr>
            <w:tcW w:w="706" w:type="dxa"/>
          </w:tcPr>
          <w:p w:rsidR="00687212" w:rsidRPr="00687212" w:rsidRDefault="00687212" w:rsidP="000221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6.18</w:t>
            </w:r>
          </w:p>
        </w:tc>
        <w:tc>
          <w:tcPr>
            <w:tcW w:w="706" w:type="dxa"/>
          </w:tcPr>
          <w:p w:rsidR="00687212" w:rsidRPr="00687212" w:rsidRDefault="00687212" w:rsidP="000221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5.66</w:t>
            </w:r>
          </w:p>
        </w:tc>
        <w:tc>
          <w:tcPr>
            <w:tcW w:w="665" w:type="dxa"/>
          </w:tcPr>
          <w:p w:rsidR="00687212" w:rsidRDefault="00687212" w:rsidP="000221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5.23</w:t>
            </w:r>
          </w:p>
        </w:tc>
        <w:tc>
          <w:tcPr>
            <w:tcW w:w="646" w:type="dxa"/>
          </w:tcPr>
          <w:p w:rsidR="00687212" w:rsidRDefault="00687212" w:rsidP="000221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4.85</w:t>
            </w:r>
          </w:p>
        </w:tc>
        <w:tc>
          <w:tcPr>
            <w:tcW w:w="605" w:type="dxa"/>
          </w:tcPr>
          <w:p w:rsidR="00687212" w:rsidRDefault="00687212" w:rsidP="000221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4.53</w:t>
            </w:r>
          </w:p>
        </w:tc>
        <w:tc>
          <w:tcPr>
            <w:tcW w:w="554" w:type="dxa"/>
          </w:tcPr>
          <w:p w:rsidR="00687212" w:rsidRDefault="00687212" w:rsidP="000221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687212" w:rsidTr="00687212">
        <w:tc>
          <w:tcPr>
            <w:tcW w:w="857" w:type="dxa"/>
          </w:tcPr>
          <w:p w:rsidR="00687212" w:rsidRPr="00687212" w:rsidRDefault="00687212" w:rsidP="00022186">
            <w:pPr>
              <w:rPr>
                <w:sz w:val="16"/>
                <w:szCs w:val="16"/>
              </w:rPr>
            </w:pPr>
            <w:r w:rsidRPr="00171FA1">
              <w:rPr>
                <w:sz w:val="16"/>
                <w:szCs w:val="16"/>
              </w:rPr>
              <w:t>Глубина стенок ящика</w:t>
            </w:r>
            <w:r>
              <w:rPr>
                <w:sz w:val="16"/>
                <w:szCs w:val="16"/>
              </w:rPr>
              <w:t xml:space="preserve"> М</w:t>
            </w:r>
          </w:p>
        </w:tc>
        <w:tc>
          <w:tcPr>
            <w:tcW w:w="640" w:type="dxa"/>
          </w:tcPr>
          <w:p w:rsidR="00687212" w:rsidRPr="00687212" w:rsidRDefault="00687212" w:rsidP="000221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2.125</w:t>
            </w:r>
          </w:p>
        </w:tc>
        <w:tc>
          <w:tcPr>
            <w:tcW w:w="705" w:type="dxa"/>
          </w:tcPr>
          <w:p w:rsidR="00687212" w:rsidRPr="00687212" w:rsidRDefault="00687212" w:rsidP="000221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751" w:type="dxa"/>
          </w:tcPr>
          <w:p w:rsidR="00687212" w:rsidRPr="00687212" w:rsidRDefault="00687212" w:rsidP="000221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1.41</w:t>
            </w:r>
          </w:p>
        </w:tc>
        <w:tc>
          <w:tcPr>
            <w:tcW w:w="706" w:type="dxa"/>
          </w:tcPr>
          <w:p w:rsidR="00687212" w:rsidRPr="00687212" w:rsidRDefault="006269D3" w:rsidP="000221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1.21</w:t>
            </w:r>
          </w:p>
        </w:tc>
        <w:tc>
          <w:tcPr>
            <w:tcW w:w="662" w:type="dxa"/>
          </w:tcPr>
          <w:p w:rsidR="00687212" w:rsidRPr="00687212" w:rsidRDefault="006269D3" w:rsidP="000221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1.06</w:t>
            </w:r>
          </w:p>
        </w:tc>
        <w:tc>
          <w:tcPr>
            <w:tcW w:w="706" w:type="dxa"/>
          </w:tcPr>
          <w:p w:rsidR="00687212" w:rsidRPr="00687212" w:rsidRDefault="006269D3" w:rsidP="000221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0.94</w:t>
            </w:r>
          </w:p>
        </w:tc>
        <w:tc>
          <w:tcPr>
            <w:tcW w:w="662" w:type="dxa"/>
          </w:tcPr>
          <w:p w:rsidR="00687212" w:rsidRPr="00687212" w:rsidRDefault="006269D3" w:rsidP="000221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0.85</w:t>
            </w:r>
          </w:p>
        </w:tc>
        <w:tc>
          <w:tcPr>
            <w:tcW w:w="706" w:type="dxa"/>
          </w:tcPr>
          <w:p w:rsidR="00687212" w:rsidRPr="00687212" w:rsidRDefault="006269D3" w:rsidP="000221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0.77</w:t>
            </w:r>
          </w:p>
        </w:tc>
        <w:tc>
          <w:tcPr>
            <w:tcW w:w="706" w:type="dxa"/>
          </w:tcPr>
          <w:p w:rsidR="00687212" w:rsidRPr="00687212" w:rsidRDefault="006269D3" w:rsidP="000221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665" w:type="dxa"/>
          </w:tcPr>
          <w:p w:rsidR="00687212" w:rsidRPr="00687212" w:rsidRDefault="006269D3" w:rsidP="000221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0.65</w:t>
            </w:r>
          </w:p>
        </w:tc>
        <w:tc>
          <w:tcPr>
            <w:tcW w:w="646" w:type="dxa"/>
          </w:tcPr>
          <w:p w:rsidR="00687212" w:rsidRPr="00687212" w:rsidRDefault="006269D3" w:rsidP="000221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</w:t>
            </w:r>
          </w:p>
        </w:tc>
        <w:tc>
          <w:tcPr>
            <w:tcW w:w="605" w:type="dxa"/>
          </w:tcPr>
          <w:p w:rsidR="00687212" w:rsidRPr="00687212" w:rsidRDefault="006269D3" w:rsidP="000221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0.56</w:t>
            </w:r>
          </w:p>
        </w:tc>
        <w:tc>
          <w:tcPr>
            <w:tcW w:w="554" w:type="dxa"/>
          </w:tcPr>
          <w:p w:rsidR="00687212" w:rsidRPr="00687212" w:rsidRDefault="006269D3" w:rsidP="000221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0.53</w:t>
            </w:r>
          </w:p>
        </w:tc>
      </w:tr>
    </w:tbl>
    <w:p w:rsidR="00171FA1" w:rsidRPr="00787325" w:rsidRDefault="00171FA1" w:rsidP="00022186">
      <w:pPr>
        <w:rPr>
          <w:sz w:val="24"/>
          <w:szCs w:val="24"/>
        </w:rPr>
      </w:pPr>
    </w:p>
    <w:p w:rsidR="00022186" w:rsidRDefault="00022186">
      <w:pPr>
        <w:rPr>
          <w:sz w:val="24"/>
          <w:szCs w:val="24"/>
        </w:rPr>
      </w:pPr>
    </w:p>
    <w:p w:rsidR="00893232" w:rsidRDefault="007B4347">
      <w:pPr>
        <w:rPr>
          <w:sz w:val="24"/>
          <w:szCs w:val="24"/>
        </w:rPr>
      </w:pPr>
      <w:r>
        <w:rPr>
          <w:sz w:val="24"/>
          <w:szCs w:val="24"/>
        </w:rPr>
        <w:t xml:space="preserve"> Ящик с открытой задней стенкой  представляет собой своеобразный резонатор Гельмгольца, резонансная частота которого в герцах </w:t>
      </w:r>
    </w:p>
    <w:p w:rsidR="00EE0722" w:rsidRDefault="00EE0722" w:rsidP="008116B9">
      <w:pPr>
        <w:jc w:val="center"/>
        <w:rPr>
          <w:rFonts w:eastAsiaTheme="minorEastAsia"/>
          <w:sz w:val="28"/>
          <w:szCs w:val="28"/>
        </w:rPr>
      </w:pPr>
      <w:proofErr w:type="spellStart"/>
      <w:proofErr w:type="gramStart"/>
      <w:r w:rsidRPr="008116B9">
        <w:rPr>
          <w:sz w:val="28"/>
          <w:szCs w:val="28"/>
        </w:rPr>
        <w:t>F</w:t>
      </w:r>
      <w:proofErr w:type="gramEnd"/>
      <w:r w:rsidRPr="008116B9">
        <w:rPr>
          <w:sz w:val="28"/>
          <w:szCs w:val="28"/>
          <w:vertAlign w:val="subscript"/>
        </w:rPr>
        <w:t>я</w:t>
      </w:r>
      <w:proofErr w:type="spellEnd"/>
      <w:r w:rsidRPr="008116B9">
        <w:rPr>
          <w:sz w:val="28"/>
          <w:szCs w:val="28"/>
          <w:vertAlign w:val="subscript"/>
        </w:rPr>
        <w:t>=</w:t>
      </w:r>
      <w:r w:rsidR="008116B9" w:rsidRPr="008116B9">
        <w:rPr>
          <w:sz w:val="28"/>
          <w:szCs w:val="28"/>
          <w:vertAlign w:val="subscript"/>
        </w:rPr>
        <w:t xml:space="preserve"> </w:t>
      </w:r>
      <w:r w:rsidRPr="008116B9">
        <w:rPr>
          <w:sz w:val="28"/>
          <w:szCs w:val="28"/>
        </w:rPr>
        <w:t>172</w:t>
      </w:r>
      <w:r w:rsidR="008116B9" w:rsidRPr="008116B9">
        <w:rPr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eg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</m:rad>
        <m:r>
          <w:rPr>
            <w:rFonts w:ascii="Cambria Math" w:hAnsi="Cambria Math"/>
            <w:sz w:val="28"/>
            <w:szCs w:val="28"/>
            <w:lang w:val="en-US"/>
          </w:rPr>
          <m:t>/√V</m:t>
        </m:r>
        <m:r>
          <w:rPr>
            <w:rFonts w:ascii="Cambria Math" w:hAnsi="Cambria Math"/>
            <w:sz w:val="28"/>
            <w:szCs w:val="28"/>
          </w:rPr>
          <m:t>я</m:t>
        </m:r>
      </m:oMath>
    </w:p>
    <w:p w:rsidR="008116B9" w:rsidRDefault="008116B9" w:rsidP="008116B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Где </w:t>
      </w:r>
      <w:r>
        <w:rPr>
          <w:rFonts w:eastAsiaTheme="minorEastAsia"/>
          <w:sz w:val="24"/>
          <w:szCs w:val="24"/>
          <w:lang w:val="en-US"/>
        </w:rPr>
        <w:t>S</w:t>
      </w:r>
      <w:r w:rsidRPr="008116B9">
        <w:rPr>
          <w:rFonts w:eastAsiaTheme="minorEastAsia"/>
          <w:sz w:val="24"/>
          <w:szCs w:val="24"/>
        </w:rPr>
        <w:t xml:space="preserve"> – </w:t>
      </w:r>
      <w:r>
        <w:rPr>
          <w:rFonts w:eastAsiaTheme="minorEastAsia"/>
          <w:sz w:val="24"/>
          <w:szCs w:val="24"/>
        </w:rPr>
        <w:t>площадь заднего отверстия ящика, см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; </w:t>
      </w:r>
      <w:r>
        <w:rPr>
          <w:rFonts w:eastAsiaTheme="minorEastAsia"/>
          <w:sz w:val="24"/>
          <w:szCs w:val="24"/>
          <w:lang w:val="en-US"/>
        </w:rPr>
        <w:t>V</w:t>
      </w:r>
      <w:r>
        <w:rPr>
          <w:rFonts w:eastAsiaTheme="minorEastAsia"/>
          <w:sz w:val="24"/>
          <w:szCs w:val="24"/>
          <w:vertAlign w:val="subscript"/>
        </w:rPr>
        <w:t>я</w:t>
      </w:r>
      <w:r>
        <w:rPr>
          <w:rFonts w:eastAsiaTheme="minorEastAsia"/>
          <w:sz w:val="24"/>
          <w:szCs w:val="24"/>
        </w:rPr>
        <w:t xml:space="preserve"> – объем ящика, Л.</w:t>
      </w:r>
    </w:p>
    <w:p w:rsidR="008116B9" w:rsidRDefault="008116B9" w:rsidP="008116B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Наилучшее воспроизведение низких частот получается, если резонансная частота ящика в 1.5-2 раза больше частоты основного резонанса динамика.  Если же эти частоты отличаются  в значительно большее число раз,  то ухудшается частотная характеристика громкоговорителя в области низких частот и звук становится бубнящим.</w:t>
      </w:r>
    </w:p>
    <w:p w:rsidR="008E263F" w:rsidRDefault="008E263F" w:rsidP="008116B9">
      <w:pPr>
        <w:rPr>
          <w:rFonts w:eastAsiaTheme="minorEastAsia"/>
          <w:sz w:val="24"/>
          <w:szCs w:val="24"/>
        </w:rPr>
      </w:pPr>
    </w:p>
    <w:p w:rsidR="008E263F" w:rsidRDefault="008E263F" w:rsidP="008116B9">
      <w:pPr>
        <w:rPr>
          <w:rFonts w:eastAsiaTheme="minorEastAsia"/>
          <w:sz w:val="24"/>
          <w:szCs w:val="24"/>
        </w:rPr>
      </w:pPr>
    </w:p>
    <w:p w:rsidR="008E263F" w:rsidRDefault="008E263F" w:rsidP="008116B9">
      <w:pPr>
        <w:rPr>
          <w:rFonts w:eastAsiaTheme="minorEastAsia"/>
          <w:sz w:val="24"/>
          <w:szCs w:val="24"/>
        </w:rPr>
      </w:pPr>
    </w:p>
    <w:p w:rsidR="008E263F" w:rsidRDefault="008E263F" w:rsidP="008116B9">
      <w:pPr>
        <w:rPr>
          <w:rFonts w:eastAsiaTheme="minorEastAsia"/>
          <w:sz w:val="24"/>
          <w:szCs w:val="24"/>
        </w:rPr>
      </w:pPr>
    </w:p>
    <w:p w:rsidR="008E263F" w:rsidRDefault="008E263F" w:rsidP="008116B9">
      <w:pPr>
        <w:rPr>
          <w:rFonts w:eastAsiaTheme="minorEastAsia"/>
          <w:sz w:val="24"/>
          <w:szCs w:val="24"/>
        </w:rPr>
      </w:pPr>
    </w:p>
    <w:p w:rsidR="008116B9" w:rsidRDefault="008116B9" w:rsidP="008116B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Приведем расчет для динамика 4а28</w:t>
      </w:r>
    </w:p>
    <w:p w:rsidR="008E263F" w:rsidRDefault="008E263F" w:rsidP="008116B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Корпус 32х32х32 см </w:t>
      </w:r>
    </w:p>
    <w:p w:rsidR="008E263F" w:rsidRDefault="008E263F" w:rsidP="008116B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Расчет заднего отверстия на частоту от 105 до 140 герц по рекомендации выше указанных испытаний зададимся целью 127 герц</w:t>
      </w:r>
    </w:p>
    <w:p w:rsidR="008E263F" w:rsidRDefault="008116B9" w:rsidP="008E263F">
      <w:pPr>
        <w:rPr>
          <w:rFonts w:eastAsiaTheme="minorEastAsia"/>
          <w:sz w:val="28"/>
          <w:szCs w:val="28"/>
        </w:rPr>
      </w:pPr>
      <w:r w:rsidRPr="008116B9">
        <w:rPr>
          <w:rFonts w:eastAsiaTheme="minorEastAsia"/>
          <w:sz w:val="24"/>
          <w:szCs w:val="24"/>
        </w:rPr>
        <w:t xml:space="preserve"> </w:t>
      </w:r>
      <w:proofErr w:type="spellStart"/>
      <w:proofErr w:type="gramStart"/>
      <w:r w:rsidR="008E263F" w:rsidRPr="008116B9">
        <w:rPr>
          <w:sz w:val="28"/>
          <w:szCs w:val="28"/>
        </w:rPr>
        <w:t>F</w:t>
      </w:r>
      <w:proofErr w:type="gramEnd"/>
      <w:r w:rsidR="008E263F" w:rsidRPr="008116B9">
        <w:rPr>
          <w:sz w:val="28"/>
          <w:szCs w:val="28"/>
          <w:vertAlign w:val="subscript"/>
        </w:rPr>
        <w:t>я</w:t>
      </w:r>
      <w:proofErr w:type="spellEnd"/>
      <w:r w:rsidR="008E263F" w:rsidRPr="008116B9">
        <w:rPr>
          <w:sz w:val="28"/>
          <w:szCs w:val="28"/>
          <w:vertAlign w:val="subscript"/>
        </w:rPr>
        <w:t xml:space="preserve">= </w:t>
      </w:r>
      <w:r w:rsidR="008E263F" w:rsidRPr="008116B9">
        <w:rPr>
          <w:sz w:val="28"/>
          <w:szCs w:val="28"/>
        </w:rPr>
        <w:t xml:space="preserve">172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eg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</m:rad>
        <m:r>
          <w:rPr>
            <w:rFonts w:ascii="Cambria Math" w:hAnsi="Cambria Math"/>
            <w:sz w:val="28"/>
            <w:szCs w:val="28"/>
            <w:lang w:val="en-US"/>
          </w:rPr>
          <m:t>/√V</m:t>
        </m:r>
        <m:r>
          <w:rPr>
            <w:rFonts w:ascii="Cambria Math" w:hAnsi="Cambria Math"/>
            <w:sz w:val="28"/>
            <w:szCs w:val="28"/>
          </w:rPr>
          <m:t>я</m:t>
        </m:r>
      </m:oMath>
    </w:p>
    <w:p w:rsidR="008E263F" w:rsidRDefault="008E263F" w:rsidP="008E263F">
      <w:p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√</m:t>
        </m:r>
        <m:r>
          <w:rPr>
            <w:rFonts w:ascii="Cambria Math" w:hAnsi="Cambria Math"/>
            <w:sz w:val="28"/>
            <w:szCs w:val="28"/>
            <w:lang w:val="en-US"/>
          </w:rPr>
          <m:t>V</m:t>
        </m:r>
        <m:r>
          <w:rPr>
            <w:rFonts w:ascii="Cambria Math" w:hAnsi="Cambria Math"/>
            <w:sz w:val="28"/>
            <w:szCs w:val="28"/>
          </w:rPr>
          <m:t>я</m:t>
        </m:r>
      </m:oMath>
      <w:r>
        <w:rPr>
          <w:rFonts w:eastAsiaTheme="minorEastAsia"/>
          <w:sz w:val="28"/>
          <w:szCs w:val="28"/>
        </w:rPr>
        <w:t xml:space="preserve"> =32х32х32</w:t>
      </w:r>
      <w:r w:rsidRPr="008E263F">
        <w:rPr>
          <w:rFonts w:eastAsiaTheme="minorEastAsia"/>
          <w:sz w:val="28"/>
          <w:szCs w:val="28"/>
        </w:rPr>
        <w:t>/1000=32,768</w:t>
      </w:r>
      <w:r>
        <w:rPr>
          <w:rFonts w:eastAsiaTheme="minorEastAsia"/>
          <w:sz w:val="28"/>
          <w:szCs w:val="28"/>
        </w:rPr>
        <w:t xml:space="preserve"> литра – объем занимаемый динамиком 4а28 =0.77 литра = 32 литра, извлечем корень = 5.65</w:t>
      </w:r>
    </w:p>
    <w:p w:rsidR="008E263F" w:rsidRDefault="008E263F" w:rsidP="008E263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Методом первого приближения </w:t>
      </w:r>
      <w:proofErr w:type="gramStart"/>
      <w:r>
        <w:rPr>
          <w:rFonts w:eastAsiaTheme="minorEastAsia"/>
          <w:sz w:val="28"/>
          <w:szCs w:val="28"/>
        </w:rPr>
        <w:t>возьмем диаметр 200мм для заднего отверстия площадь равна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r w:rsidRPr="008E263F">
        <w:rPr>
          <w:rFonts w:eastAsiaTheme="minorEastAsia"/>
          <w:sz w:val="28"/>
          <w:szCs w:val="28"/>
        </w:rPr>
        <w:t>S=π r2</w:t>
      </w:r>
      <w:r>
        <w:rPr>
          <w:rFonts w:eastAsiaTheme="minorEastAsia"/>
          <w:sz w:val="28"/>
          <w:szCs w:val="28"/>
        </w:rPr>
        <w:t xml:space="preserve">   = 314ммкв</w:t>
      </w:r>
    </w:p>
    <w:p w:rsidR="008E263F" w:rsidRDefault="008E263F" w:rsidP="008E263F">
      <w:pPr>
        <w:rPr>
          <w:rFonts w:eastAsiaTheme="minorEastAsia"/>
          <w:sz w:val="28"/>
          <w:szCs w:val="28"/>
        </w:rPr>
      </w:pPr>
      <w:r w:rsidRPr="008E263F">
        <w:rPr>
          <w:rFonts w:ascii="Cambria Math" w:eastAsiaTheme="minorEastAsia" w:hAnsi="Cambria Math" w:cs="Cambria Math"/>
          <w:sz w:val="28"/>
          <w:szCs w:val="28"/>
        </w:rPr>
        <w:t>∜</w:t>
      </w:r>
      <w:r>
        <w:rPr>
          <w:rFonts w:eastAsiaTheme="minorEastAsia"/>
          <w:sz w:val="28"/>
          <w:szCs w:val="28"/>
        </w:rPr>
        <w:t>314=4.2</w:t>
      </w:r>
    </w:p>
    <w:p w:rsidR="008E263F" w:rsidRDefault="008E263F" w:rsidP="008E263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Расчет </w:t>
      </w:r>
    </w:p>
    <w:p w:rsidR="008E263F" w:rsidRDefault="008E263F" w:rsidP="008E263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172*4.2</w:t>
      </w:r>
      <w:r w:rsidRPr="008E263F">
        <w:rPr>
          <w:rFonts w:eastAsiaTheme="minorEastAsia"/>
          <w:sz w:val="28"/>
          <w:szCs w:val="28"/>
        </w:rPr>
        <w:t>/</w:t>
      </w:r>
      <w:r>
        <w:rPr>
          <w:rFonts w:eastAsiaTheme="minorEastAsia"/>
          <w:sz w:val="28"/>
          <w:szCs w:val="28"/>
        </w:rPr>
        <w:t xml:space="preserve">5.65=127 герц </w:t>
      </w:r>
    </w:p>
    <w:p w:rsidR="008E263F" w:rsidRDefault="008E263F" w:rsidP="008E263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Если требуется круг диаметром 200 мм перевести в квадрат то получим квадрат со сторонами 177.5 мм</w:t>
      </w:r>
    </w:p>
    <w:p w:rsidR="008E263F" w:rsidRPr="008E263F" w:rsidRDefault="008E263F" w:rsidP="008E263F">
      <w:pPr>
        <w:rPr>
          <w:rFonts w:eastAsiaTheme="minorEastAsia"/>
          <w:sz w:val="28"/>
          <w:szCs w:val="28"/>
        </w:rPr>
      </w:pPr>
      <w:bookmarkStart w:id="0" w:name="_GoBack"/>
      <w:bookmarkEnd w:id="0"/>
    </w:p>
    <w:p w:rsidR="008116B9" w:rsidRPr="008116B9" w:rsidRDefault="008116B9" w:rsidP="008116B9">
      <w:pPr>
        <w:rPr>
          <w:i/>
          <w:sz w:val="24"/>
          <w:szCs w:val="24"/>
        </w:rPr>
      </w:pPr>
    </w:p>
    <w:p w:rsidR="007B4347" w:rsidRPr="00893232" w:rsidRDefault="007B4347">
      <w:pPr>
        <w:rPr>
          <w:sz w:val="24"/>
          <w:szCs w:val="24"/>
        </w:rPr>
      </w:pPr>
    </w:p>
    <w:sectPr w:rsidR="007B4347" w:rsidRPr="00893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E4"/>
    <w:rsid w:val="00022186"/>
    <w:rsid w:val="00087FE4"/>
    <w:rsid w:val="00171FA1"/>
    <w:rsid w:val="002C39A1"/>
    <w:rsid w:val="006269D3"/>
    <w:rsid w:val="00687212"/>
    <w:rsid w:val="00787325"/>
    <w:rsid w:val="007B4347"/>
    <w:rsid w:val="008116B9"/>
    <w:rsid w:val="00893232"/>
    <w:rsid w:val="008E263F"/>
    <w:rsid w:val="00EE0722"/>
    <w:rsid w:val="00FD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116B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1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116B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1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са5</dc:creator>
  <cp:lastModifiedBy>са5</cp:lastModifiedBy>
  <cp:revision>9</cp:revision>
  <cp:lastPrinted>2015-06-05T09:13:00Z</cp:lastPrinted>
  <dcterms:created xsi:type="dcterms:W3CDTF">2015-06-05T06:09:00Z</dcterms:created>
  <dcterms:modified xsi:type="dcterms:W3CDTF">2015-06-05T09:13:00Z</dcterms:modified>
</cp:coreProperties>
</file>